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68ud9l4c4t8k" w:id="0"/>
      <w:bookmarkEnd w:id="0"/>
      <w:r w:rsidDel="00000000" w:rsidR="00000000" w:rsidRPr="00000000">
        <w:rPr>
          <w:b w:val="0"/>
          <w:sz w:val="32"/>
          <w:szCs w:val="32"/>
          <w:rtl w:val="0"/>
        </w:rPr>
        <w:t xml:space="preserve">COMPANY DRESS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requires all employees to present themselves in a professional manner when representing the Company.  It is always important that the professional image of the firm be maintained, even on casual days, as our employees’ own presentation is a direct reflection of </w:t>
      </w: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. The purpose of this policy is to outline our expectations for employee attire, personal hygiene and appearance.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Attire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highlight w:val="yellow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is a professional firm. Employees who may have in-person contact with customers, whether on our site or when working outside the office are expected to present a professional appearance. We expect that employees will use appropriate judgement when selecting their work attire.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Examples of clothing or representations that are not acceptable, even on casual days, include but are not limited to: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Ripped or torn clothes;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Clothing and/or tattoos that contain words or images that are racist, violent and/or clearly inappropriate;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Clothing that is revealing and skin tight without appropriate coverage (i.e. a long sweater over yoga pants);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Dirty or unwashed clothes.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On occasion, the owners may direct employees to dress in business casual or in business attire (for example, if an important client is attending on-site).  In those cases, employees will dress according to the instructions.  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Hygiene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Employees are expected to meet hygiene requirements during regular business hours for the duration of their employment.  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Maintain personal cleanliness, oral hygiene and use deodorant / antiperspirant to minimize body odours.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No excessive scented perfumes, colognes and lotions. These can cause allergic reactions, migraines and respiratory difficulty for some employees.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Clean and trimmed fingernails.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Wash hands after eating or using the restrooms.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Compliance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Departure from appropriate grooming, hygiene and attire standards will result in employee counselling and/or disciplinary action up to and including termination of employment.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Personal appearance standards may be reviewed periodically and updated as deemed necessary.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Questions pertaining to these guidelines, or the appropriateness of dress and/or hygiene on a given day should be directed to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Management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Some decisions regarding dress code and/or hygiene may have human rights considerations involved. Any such circumstance will be handled on a case by case basis, always with adherence to the Alberta Human Rights Act.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sz w:val="16"/>
        <w:szCs w:val="16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0E6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40E6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40E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0E69"/>
  </w:style>
  <w:style w:type="paragraph" w:styleId="Footer">
    <w:name w:val="footer"/>
    <w:basedOn w:val="Normal"/>
    <w:link w:val="FooterChar"/>
    <w:uiPriority w:val="99"/>
    <w:unhideWhenUsed w:val="1"/>
    <w:rsid w:val="00940E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0E6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lMHXzu6bdkMm0yAGHBiW79ZMVQ==">AMUW2mWLa5iei4OF7fJQ9V90k1jmqmxqB7mHbd/BwDDtQ2GhPm+AJJA1NwFviAW6eq5S+kTALFA6hixRm2tPlpU6gtUrG/UNJbH3GqaVzbpmP7BsmHzsmyRdsqEl39Un5IpQBs5AdJs5a4lt3xndOj6AKR2PufAl+Q==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2018-02-21T15:06:00Z</dcterms:created>
  <dc:creator>Tanya MICHAUD</dc:creator>
</cp:coreProperties>
</file>